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10E" w:rsidRPr="002A4A07" w:rsidRDefault="009B0164" w:rsidP="009B0164">
      <w:pPr>
        <w:jc w:val="center"/>
        <w:rPr>
          <w:rFonts w:ascii="Times New Roman" w:hAnsi="Times New Roman" w:cs="Times New Roman"/>
          <w:sz w:val="24"/>
          <w:szCs w:val="24"/>
        </w:rPr>
      </w:pPr>
      <w:r w:rsidRPr="002A4A07">
        <w:rPr>
          <w:rFonts w:ascii="Times New Roman" w:hAnsi="Times New Roman" w:cs="Times New Roman"/>
          <w:sz w:val="24"/>
          <w:szCs w:val="24"/>
        </w:rPr>
        <w:t xml:space="preserve">Раздел 2 </w:t>
      </w:r>
      <w:r w:rsidR="00913010" w:rsidRPr="002A4A07">
        <w:rPr>
          <w:rFonts w:ascii="Times New Roman" w:hAnsi="Times New Roman" w:cs="Times New Roman"/>
          <w:sz w:val="24"/>
          <w:szCs w:val="24"/>
        </w:rPr>
        <w:t>конкурсной</w:t>
      </w:r>
      <w:r w:rsidRPr="002A4A07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r w:rsidR="00CD410E" w:rsidRPr="002A4A07">
        <w:rPr>
          <w:rFonts w:ascii="Times New Roman" w:hAnsi="Times New Roman" w:cs="Times New Roman"/>
          <w:sz w:val="24"/>
          <w:szCs w:val="24"/>
        </w:rPr>
        <w:t>. Информационная карта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73"/>
        <w:gridCol w:w="4280"/>
        <w:gridCol w:w="5494"/>
      </w:tblGrid>
      <w:tr w:rsidR="00FB6F5F" w:rsidRPr="002A4A07" w:rsidTr="00A76666">
        <w:tc>
          <w:tcPr>
            <w:tcW w:w="1073" w:type="dxa"/>
            <w:vAlign w:val="center"/>
          </w:tcPr>
          <w:p w:rsidR="00E32D0C" w:rsidRPr="002A4A07" w:rsidRDefault="00E32D0C" w:rsidP="00E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Номер позиции</w:t>
            </w:r>
          </w:p>
        </w:tc>
        <w:tc>
          <w:tcPr>
            <w:tcW w:w="9774" w:type="dxa"/>
            <w:gridSpan w:val="2"/>
            <w:vAlign w:val="center"/>
          </w:tcPr>
          <w:p w:rsidR="00E32D0C" w:rsidRPr="002A4A07" w:rsidRDefault="00E32D0C" w:rsidP="00E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6521E4" w:rsidRPr="002A4A07" w:rsidTr="006521E4">
        <w:tc>
          <w:tcPr>
            <w:tcW w:w="10847" w:type="dxa"/>
            <w:gridSpan w:val="3"/>
            <w:shd w:val="clear" w:color="auto" w:fill="FFFFFF" w:themeFill="background1"/>
            <w:vAlign w:val="center"/>
          </w:tcPr>
          <w:p w:rsidR="006521E4" w:rsidRPr="002A4A07" w:rsidRDefault="006521E4" w:rsidP="00AF48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1E4" w:rsidRPr="002A4A07" w:rsidTr="006521E4"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6521E4" w:rsidRPr="002A4A07" w:rsidRDefault="006521E4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D9D9D9" w:themeFill="background1" w:themeFillShade="D9"/>
            <w:vAlign w:val="center"/>
          </w:tcPr>
          <w:p w:rsidR="006521E4" w:rsidRPr="002A4A07" w:rsidRDefault="006521E4" w:rsidP="00AF4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ИНН заказчика</w:t>
            </w:r>
          </w:p>
        </w:tc>
        <w:tc>
          <w:tcPr>
            <w:tcW w:w="5494" w:type="dxa"/>
            <w:shd w:val="clear" w:color="auto" w:fill="D9D9D9" w:themeFill="background1" w:themeFillShade="D9"/>
            <w:vAlign w:val="center"/>
          </w:tcPr>
          <w:p w:rsidR="006521E4" w:rsidRPr="002A4A07" w:rsidRDefault="005534E2" w:rsidP="00AF4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noProof/>
                <w:sz w:val="24"/>
                <w:szCs w:val="24"/>
              </w:rPr>
              <w:t>2315077917</w:t>
            </w:r>
          </w:p>
        </w:tc>
      </w:tr>
      <w:tr w:rsidR="006521E4" w:rsidRPr="002A4A07" w:rsidTr="006521E4"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6521E4" w:rsidRPr="002A4A07" w:rsidRDefault="006521E4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D9D9D9" w:themeFill="background1" w:themeFillShade="D9"/>
            <w:vAlign w:val="center"/>
          </w:tcPr>
          <w:p w:rsidR="006521E4" w:rsidRPr="002A4A07" w:rsidRDefault="006521E4" w:rsidP="00AF4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</w:t>
            </w:r>
          </w:p>
        </w:tc>
        <w:tc>
          <w:tcPr>
            <w:tcW w:w="5494" w:type="dxa"/>
            <w:shd w:val="clear" w:color="auto" w:fill="D9D9D9" w:themeFill="background1" w:themeFillShade="D9"/>
            <w:vAlign w:val="center"/>
          </w:tcPr>
          <w:p w:rsidR="006521E4" w:rsidRPr="002A4A07" w:rsidRDefault="005534E2" w:rsidP="00AF4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noProof/>
                <w:sz w:val="24"/>
                <w:szCs w:val="24"/>
              </w:rPr>
              <w:t>Муниципальное бюджетное учреждение «Городская поликлиника № 2» управления здравоохранения администрации города Новороссийска</w:t>
            </w:r>
          </w:p>
        </w:tc>
      </w:tr>
      <w:tr w:rsidR="005534E2" w:rsidRPr="002A4A07" w:rsidTr="006521E4"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5534E2" w:rsidRPr="002A4A07" w:rsidRDefault="005534E2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D9D9D9" w:themeFill="background1" w:themeFillShade="D9"/>
            <w:vAlign w:val="center"/>
          </w:tcPr>
          <w:p w:rsidR="005534E2" w:rsidRPr="002A4A07" w:rsidRDefault="005534E2" w:rsidP="007523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Наименование, вид и предмет конкурса</w:t>
            </w:r>
          </w:p>
        </w:tc>
        <w:tc>
          <w:tcPr>
            <w:tcW w:w="5494" w:type="dxa"/>
            <w:shd w:val="clear" w:color="auto" w:fill="D9D9D9" w:themeFill="background1" w:themeFillShade="D9"/>
            <w:vAlign w:val="center"/>
          </w:tcPr>
          <w:p w:rsidR="005534E2" w:rsidRPr="002A4A07" w:rsidRDefault="005534E2" w:rsidP="0075237D">
            <w:pPr>
              <w:pStyle w:val="a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Открытый конкурс на право заключения договора на выполнение работ по проектированию «Реконструкции МБУ «Городская поликлиника № 2»  управления здравоохранения администрации г. Новороссийска по адресу :</w:t>
            </w:r>
            <w:r w:rsidRPr="002A4A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br/>
              <w:t xml:space="preserve"> г. Новороссийск, ул. Пролетарская, 7 за счёт добровольных пожертвований ЗАО «Каспийский трубопроводный консорциум - </w:t>
            </w:r>
            <w:proofErr w:type="gramStart"/>
            <w:r w:rsidRPr="002A4A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</w:t>
            </w:r>
            <w:proofErr w:type="gramEnd"/>
            <w:r w:rsidRPr="002A4A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 (благотворителя)</w:t>
            </w:r>
          </w:p>
        </w:tc>
      </w:tr>
      <w:tr w:rsidR="005534E2" w:rsidRPr="002A4A07" w:rsidTr="006521E4"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5534E2" w:rsidRPr="002A4A07" w:rsidRDefault="005534E2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D9D9D9" w:themeFill="background1" w:themeFillShade="D9"/>
            <w:vAlign w:val="center"/>
          </w:tcPr>
          <w:p w:rsidR="005534E2" w:rsidRPr="002A4A07" w:rsidRDefault="005534E2" w:rsidP="007523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Предмет договора  </w:t>
            </w:r>
          </w:p>
        </w:tc>
        <w:tc>
          <w:tcPr>
            <w:tcW w:w="5494" w:type="dxa"/>
            <w:shd w:val="clear" w:color="auto" w:fill="D9D9D9" w:themeFill="background1" w:themeFillShade="D9"/>
            <w:vAlign w:val="center"/>
          </w:tcPr>
          <w:p w:rsidR="005534E2" w:rsidRPr="002A4A07" w:rsidRDefault="005534E2" w:rsidP="0075237D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Выполнение работ по проектированию «Реконструкции МБУ «Городская поликлиника № 2»  управления здравоохранения администрации г. Новороссийска по адресу</w:t>
            </w:r>
            <w:proofErr w:type="gramStart"/>
            <w:r w:rsidRPr="002A4A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:</w:t>
            </w:r>
            <w:proofErr w:type="gramEnd"/>
            <w:r w:rsidRPr="002A4A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г. Новороссийск, ул. Пролетарская, 7</w:t>
            </w:r>
          </w:p>
        </w:tc>
      </w:tr>
      <w:tr w:rsidR="005534E2" w:rsidRPr="002A4A07" w:rsidTr="006521E4"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5534E2" w:rsidRPr="002A4A07" w:rsidRDefault="005534E2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D9D9D9" w:themeFill="background1" w:themeFillShade="D9"/>
            <w:vAlign w:val="center"/>
          </w:tcPr>
          <w:p w:rsidR="005534E2" w:rsidRPr="002A4A07" w:rsidRDefault="005534E2" w:rsidP="00AF4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контракта, руб.</w:t>
            </w:r>
          </w:p>
        </w:tc>
        <w:tc>
          <w:tcPr>
            <w:tcW w:w="5494" w:type="dxa"/>
            <w:shd w:val="clear" w:color="auto" w:fill="D9D9D9" w:themeFill="background1" w:themeFillShade="D9"/>
            <w:vAlign w:val="center"/>
          </w:tcPr>
          <w:p w:rsidR="005534E2" w:rsidRDefault="00177A62" w:rsidP="00AF4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2510000,00</w:t>
            </w:r>
            <w:r w:rsidR="009424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24BF" w:rsidRPr="002A4A07" w:rsidRDefault="009424BF" w:rsidP="00942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договора</w:t>
            </w:r>
            <w:r w:rsidRPr="009424BF">
              <w:rPr>
                <w:rFonts w:ascii="Times New Roman" w:hAnsi="Times New Roman" w:cs="Times New Roman"/>
                <w:sz w:val="24"/>
                <w:szCs w:val="24"/>
              </w:rPr>
              <w:t xml:space="preserve"> включает в себя стоимость всех издержек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424BF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42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Исполнителя</w:t>
            </w:r>
            <w:r w:rsidRPr="009424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r w:rsidRPr="009424BF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заключенному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Pr="009424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включая на</w:t>
            </w:r>
            <w:r w:rsidRPr="009424BF">
              <w:rPr>
                <w:rFonts w:ascii="Times New Roman" w:hAnsi="Times New Roman" w:cs="Times New Roman"/>
                <w:sz w:val="24"/>
                <w:szCs w:val="24"/>
              </w:rPr>
              <w:t>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(в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НДС) и </w:t>
            </w:r>
            <w:r w:rsidRPr="009424BF">
              <w:rPr>
                <w:rFonts w:ascii="Times New Roman" w:hAnsi="Times New Roman" w:cs="Times New Roman"/>
                <w:sz w:val="24"/>
                <w:szCs w:val="24"/>
              </w:rPr>
              <w:t>другие обязательные платежи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34E2" w:rsidRPr="002A4A07" w:rsidTr="00335FDD">
        <w:tc>
          <w:tcPr>
            <w:tcW w:w="1073" w:type="dxa"/>
            <w:vAlign w:val="center"/>
          </w:tcPr>
          <w:p w:rsidR="005534E2" w:rsidRPr="002A4A07" w:rsidRDefault="005534E2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</w:tcPr>
          <w:p w:rsidR="005534E2" w:rsidRPr="002A4A07" w:rsidRDefault="005534E2" w:rsidP="00AF488F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noProof/>
                <w:sz w:val="24"/>
                <w:szCs w:val="24"/>
              </w:rPr>
              <w:t>Валюта, используемая для формирования цены контракта и расчетов с поставщиками (исполнителями подрядчиками)</w:t>
            </w:r>
          </w:p>
        </w:tc>
        <w:tc>
          <w:tcPr>
            <w:tcW w:w="5494" w:type="dxa"/>
            <w:vAlign w:val="center"/>
          </w:tcPr>
          <w:p w:rsidR="005534E2" w:rsidRPr="002A4A07" w:rsidRDefault="005534E2" w:rsidP="00AF488F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bookmarkStart w:id="0" w:name="Valuta"/>
            <w:bookmarkEnd w:id="0"/>
            <w:r w:rsidRPr="002A4A07">
              <w:rPr>
                <w:rFonts w:ascii="Times New Roman" w:hAnsi="Times New Roman" w:cs="Times New Roman"/>
                <w:noProof/>
                <w:sz w:val="24"/>
                <w:szCs w:val="24"/>
              </w:rPr>
              <w:t>рубль РФ</w:t>
            </w:r>
          </w:p>
        </w:tc>
      </w:tr>
      <w:tr w:rsidR="005534E2" w:rsidRPr="002A4A07" w:rsidTr="00335FDD">
        <w:tc>
          <w:tcPr>
            <w:tcW w:w="1073" w:type="dxa"/>
            <w:vAlign w:val="center"/>
          </w:tcPr>
          <w:p w:rsidR="005534E2" w:rsidRPr="002A4A07" w:rsidRDefault="005534E2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</w:tcPr>
          <w:p w:rsidR="005534E2" w:rsidRPr="002A4A07" w:rsidRDefault="005534E2" w:rsidP="00AF488F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noProof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5494" w:type="dxa"/>
            <w:vAlign w:val="center"/>
          </w:tcPr>
          <w:p w:rsidR="005534E2" w:rsidRPr="002A4A07" w:rsidRDefault="005534E2" w:rsidP="00B944CA">
            <w:pPr>
              <w:pStyle w:val="3"/>
              <w:ind w:right="-57"/>
              <w:rPr>
                <w:rFonts w:ascii="Times New Roman" w:eastAsia="Times New Roman" w:hAnsi="Times New Roman" w:cs="Times New Roman"/>
                <w:noProof/>
              </w:rPr>
            </w:pPr>
            <w:r w:rsidRPr="002A4A07">
              <w:rPr>
                <w:rFonts w:ascii="Times New Roman" w:eastAsia="Times New Roman" w:hAnsi="Times New Roman" w:cs="Times New Roman"/>
                <w:noProof/>
              </w:rPr>
              <w:t xml:space="preserve">В случае если позиции </w:t>
            </w:r>
            <w:r w:rsidR="00B944CA">
              <w:rPr>
                <w:rFonts w:ascii="Times New Roman" w:eastAsia="Times New Roman" w:hAnsi="Times New Roman" w:cs="Times New Roman"/>
                <w:noProof/>
              </w:rPr>
              <w:t>5</w:t>
            </w:r>
            <w:r w:rsidRPr="002A4A07">
              <w:rPr>
                <w:rFonts w:ascii="Times New Roman" w:eastAsia="Times New Roman" w:hAnsi="Times New Roman" w:cs="Times New Roman"/>
                <w:noProof/>
              </w:rPr>
              <w:t xml:space="preserve"> для формирования цены контракта и расчетов с поставщиками предусмотрена валюта, отличная от рубля, то при оплате заключенного контракта применяется официальный курс иностранной валюты к рублю Российской Федерации, установленный Центральным банком Российской Федерации на момент оплаты</w:t>
            </w:r>
          </w:p>
        </w:tc>
      </w:tr>
      <w:tr w:rsidR="005534E2" w:rsidRPr="002A4A07" w:rsidTr="006521E4"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5534E2" w:rsidRPr="002A4A07" w:rsidRDefault="005534E2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D9D9D9" w:themeFill="background1" w:themeFillShade="D9"/>
            <w:vAlign w:val="center"/>
          </w:tcPr>
          <w:p w:rsidR="005534E2" w:rsidRPr="002A4A07" w:rsidRDefault="005534E2" w:rsidP="00AF4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Информация о количестве товара, объеме работ, услуг</w:t>
            </w:r>
          </w:p>
        </w:tc>
        <w:tc>
          <w:tcPr>
            <w:tcW w:w="5494" w:type="dxa"/>
            <w:shd w:val="clear" w:color="auto" w:fill="D9D9D9" w:themeFill="background1" w:themeFillShade="D9"/>
            <w:vAlign w:val="center"/>
          </w:tcPr>
          <w:p w:rsidR="005534E2" w:rsidRPr="002A4A07" w:rsidRDefault="00047D57" w:rsidP="00AF4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34E2" w:rsidRPr="002A4A07" w:rsidTr="00F16069">
        <w:tc>
          <w:tcPr>
            <w:tcW w:w="10847" w:type="dxa"/>
            <w:gridSpan w:val="3"/>
            <w:vAlign w:val="center"/>
          </w:tcPr>
          <w:p w:rsidR="005534E2" w:rsidRPr="002A4A07" w:rsidRDefault="005534E2" w:rsidP="005D500E">
            <w:pPr>
              <w:tabs>
                <w:tab w:val="left" w:pos="285"/>
                <w:tab w:val="center" w:pos="1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D57" w:rsidRPr="002A4A07" w:rsidTr="00732F7E">
        <w:tc>
          <w:tcPr>
            <w:tcW w:w="1073" w:type="dxa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vAlign w:val="center"/>
          </w:tcPr>
          <w:p w:rsidR="00047D57" w:rsidRPr="002A4A07" w:rsidRDefault="00047D57" w:rsidP="007523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Официальный сайт, на котором размещена документация открытого конкурса</w:t>
            </w:r>
          </w:p>
        </w:tc>
        <w:tc>
          <w:tcPr>
            <w:tcW w:w="5494" w:type="dxa"/>
            <w:vAlign w:val="center"/>
          </w:tcPr>
          <w:p w:rsidR="00047D57" w:rsidRPr="002A4A07" w:rsidRDefault="00047D57" w:rsidP="0075237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www.novoroszdrav.ru</w:t>
            </w:r>
          </w:p>
        </w:tc>
      </w:tr>
      <w:tr w:rsidR="00047D57" w:rsidRPr="002A4A07" w:rsidTr="006521E4"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AF4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Способ определения поставщика (подрядчика, исполнителя)</w:t>
            </w:r>
          </w:p>
        </w:tc>
        <w:tc>
          <w:tcPr>
            <w:tcW w:w="5494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047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Открытый конкурс</w:t>
            </w:r>
          </w:p>
        </w:tc>
      </w:tr>
      <w:tr w:rsidR="00047D57" w:rsidRPr="002A4A07" w:rsidTr="002904E8">
        <w:tc>
          <w:tcPr>
            <w:tcW w:w="10847" w:type="dxa"/>
            <w:gridSpan w:val="3"/>
            <w:vAlign w:val="center"/>
          </w:tcPr>
          <w:p w:rsidR="00047D57" w:rsidRPr="002A4A07" w:rsidRDefault="00047D57" w:rsidP="005D500E">
            <w:pPr>
              <w:tabs>
                <w:tab w:val="left" w:pos="285"/>
                <w:tab w:val="center" w:pos="1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8A0" w:rsidRPr="002A4A07" w:rsidTr="00913010">
        <w:tc>
          <w:tcPr>
            <w:tcW w:w="1073" w:type="dxa"/>
            <w:shd w:val="clear" w:color="auto" w:fill="auto"/>
            <w:vAlign w:val="center"/>
          </w:tcPr>
          <w:p w:rsidR="007808A0" w:rsidRPr="002A4A07" w:rsidRDefault="007808A0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  <w:vAlign w:val="center"/>
          </w:tcPr>
          <w:p w:rsidR="007808A0" w:rsidRPr="002A4A07" w:rsidRDefault="007808A0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 конкурса</w:t>
            </w:r>
          </w:p>
        </w:tc>
        <w:tc>
          <w:tcPr>
            <w:tcW w:w="5494" w:type="dxa"/>
            <w:shd w:val="clear" w:color="auto" w:fill="auto"/>
            <w:vAlign w:val="center"/>
          </w:tcPr>
          <w:p w:rsidR="007808A0" w:rsidRPr="002A4A07" w:rsidRDefault="007808A0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8A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здравоохранения администрации МО </w:t>
            </w:r>
            <w:r w:rsidRPr="00780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8A0">
              <w:rPr>
                <w:rFonts w:ascii="Times New Roman" w:hAnsi="Times New Roman" w:cs="Times New Roman"/>
                <w:sz w:val="24"/>
                <w:szCs w:val="24"/>
              </w:rPr>
              <w:t>Новороссийск</w:t>
            </w:r>
          </w:p>
        </w:tc>
      </w:tr>
      <w:tr w:rsidR="007808A0" w:rsidRPr="002A4A07" w:rsidTr="00913010">
        <w:tc>
          <w:tcPr>
            <w:tcW w:w="1073" w:type="dxa"/>
            <w:shd w:val="clear" w:color="auto" w:fill="auto"/>
            <w:vAlign w:val="center"/>
          </w:tcPr>
          <w:p w:rsidR="007808A0" w:rsidRPr="002A4A07" w:rsidRDefault="007808A0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  <w:vAlign w:val="center"/>
          </w:tcPr>
          <w:p w:rsidR="007808A0" w:rsidRPr="002A4A07" w:rsidRDefault="007808A0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494" w:type="dxa"/>
            <w:shd w:val="clear" w:color="auto" w:fill="auto"/>
            <w:vAlign w:val="center"/>
          </w:tcPr>
          <w:p w:rsidR="007808A0" w:rsidRPr="002A4A07" w:rsidRDefault="007808A0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8A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353900, Краснодарский край, г. Новороссийск, ул. Лейтенанта Шмидта, 37</w:t>
            </w:r>
          </w:p>
        </w:tc>
      </w:tr>
      <w:tr w:rsidR="007808A0" w:rsidRPr="002A4A07" w:rsidTr="00913010">
        <w:tc>
          <w:tcPr>
            <w:tcW w:w="1073" w:type="dxa"/>
            <w:shd w:val="clear" w:color="auto" w:fill="auto"/>
            <w:vAlign w:val="center"/>
          </w:tcPr>
          <w:p w:rsidR="007808A0" w:rsidRPr="002A4A07" w:rsidRDefault="007808A0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  <w:vAlign w:val="center"/>
          </w:tcPr>
          <w:p w:rsidR="007808A0" w:rsidRPr="002A4A07" w:rsidRDefault="007808A0" w:rsidP="00780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5494" w:type="dxa"/>
            <w:shd w:val="clear" w:color="auto" w:fill="auto"/>
            <w:vAlign w:val="center"/>
          </w:tcPr>
          <w:p w:rsidR="007808A0" w:rsidRPr="002A4A07" w:rsidRDefault="007808A0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(8617) 641759</w:t>
            </w:r>
          </w:p>
        </w:tc>
      </w:tr>
      <w:tr w:rsidR="007808A0" w:rsidRPr="002A4A07" w:rsidTr="00913010">
        <w:tc>
          <w:tcPr>
            <w:tcW w:w="1073" w:type="dxa"/>
            <w:shd w:val="clear" w:color="auto" w:fill="auto"/>
            <w:vAlign w:val="center"/>
          </w:tcPr>
          <w:p w:rsidR="007808A0" w:rsidRPr="002A4A07" w:rsidRDefault="007808A0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  <w:vAlign w:val="center"/>
          </w:tcPr>
          <w:p w:rsidR="007808A0" w:rsidRPr="002A4A07" w:rsidRDefault="007808A0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5494" w:type="dxa"/>
            <w:shd w:val="clear" w:color="auto" w:fill="auto"/>
            <w:vAlign w:val="center"/>
          </w:tcPr>
          <w:p w:rsidR="007808A0" w:rsidRPr="002A4A07" w:rsidRDefault="007808A0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Соловьева Яна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Вааговна</w:t>
            </w:r>
            <w:proofErr w:type="spellEnd"/>
          </w:p>
        </w:tc>
      </w:tr>
      <w:tr w:rsidR="00047D57" w:rsidRPr="002A4A07" w:rsidTr="00913010">
        <w:tc>
          <w:tcPr>
            <w:tcW w:w="1073" w:type="dxa"/>
            <w:shd w:val="clear" w:color="auto" w:fill="auto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  <w:vAlign w:val="center"/>
          </w:tcPr>
          <w:p w:rsidR="00047D57" w:rsidRPr="002A4A07" w:rsidRDefault="00047D57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Время начала подачи заявок</w:t>
            </w:r>
          </w:p>
        </w:tc>
        <w:tc>
          <w:tcPr>
            <w:tcW w:w="5494" w:type="dxa"/>
            <w:shd w:val="clear" w:color="auto" w:fill="auto"/>
            <w:vAlign w:val="center"/>
          </w:tcPr>
          <w:p w:rsidR="00047D57" w:rsidRPr="002A4A07" w:rsidRDefault="00047D57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Со дня размещения извещения о проведении открытого конкурса</w:t>
            </w:r>
          </w:p>
        </w:tc>
      </w:tr>
      <w:tr w:rsidR="00047D57" w:rsidRPr="002A4A07" w:rsidTr="00646D3F"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EE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Дата начала подачи заявок</w:t>
            </w:r>
          </w:p>
        </w:tc>
        <w:tc>
          <w:tcPr>
            <w:tcW w:w="5494" w:type="dxa"/>
            <w:shd w:val="clear" w:color="auto" w:fill="D9D9D9" w:themeFill="background1" w:themeFillShade="D9"/>
            <w:vAlign w:val="center"/>
          </w:tcPr>
          <w:p w:rsidR="00047D57" w:rsidRPr="002A4A07" w:rsidRDefault="002A4A07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03.08.2015</w:t>
            </w:r>
          </w:p>
        </w:tc>
      </w:tr>
      <w:tr w:rsidR="00047D57" w:rsidRPr="002A4A07" w:rsidTr="00CC4B60"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D9D9D9" w:themeFill="background1" w:themeFillShade="D9"/>
          </w:tcPr>
          <w:p w:rsidR="00047D57" w:rsidRPr="002A4A07" w:rsidRDefault="00047D57" w:rsidP="00F1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gramStart"/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начала предоставления разъяснений положений конкурсной документации</w:t>
            </w:r>
            <w:proofErr w:type="gramEnd"/>
          </w:p>
        </w:tc>
        <w:tc>
          <w:tcPr>
            <w:tcW w:w="5494" w:type="dxa"/>
            <w:shd w:val="clear" w:color="auto" w:fill="D9D9D9" w:themeFill="background1" w:themeFillShade="D9"/>
            <w:vAlign w:val="center"/>
          </w:tcPr>
          <w:p w:rsidR="00047D57" w:rsidRPr="002A4A07" w:rsidRDefault="002A4A07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03.08.2015</w:t>
            </w:r>
          </w:p>
        </w:tc>
      </w:tr>
      <w:tr w:rsidR="00047D57" w:rsidRPr="002A4A07" w:rsidTr="00CC4B60"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D9D9D9" w:themeFill="background1" w:themeFillShade="D9"/>
          </w:tcPr>
          <w:p w:rsidR="00047D57" w:rsidRPr="002A4A07" w:rsidRDefault="00047D57" w:rsidP="00F1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gramStart"/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окончания срока предоставления разъяснений положений конкурсной документации</w:t>
            </w:r>
            <w:proofErr w:type="gramEnd"/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4" w:type="dxa"/>
            <w:shd w:val="clear" w:color="auto" w:fill="D9D9D9" w:themeFill="background1" w:themeFillShade="D9"/>
            <w:vAlign w:val="center"/>
          </w:tcPr>
          <w:p w:rsidR="00047D57" w:rsidRPr="002A4A07" w:rsidRDefault="00001E62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26.08.2015</w:t>
            </w:r>
          </w:p>
        </w:tc>
      </w:tr>
      <w:tr w:rsidR="00047D57" w:rsidRPr="002A4A07" w:rsidTr="00913010">
        <w:tc>
          <w:tcPr>
            <w:tcW w:w="1073" w:type="dxa"/>
            <w:shd w:val="clear" w:color="auto" w:fill="auto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  <w:vAlign w:val="center"/>
          </w:tcPr>
          <w:p w:rsidR="00047D57" w:rsidRPr="002A4A07" w:rsidRDefault="00047D57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Время окончания подачи заявок</w:t>
            </w:r>
          </w:p>
        </w:tc>
        <w:tc>
          <w:tcPr>
            <w:tcW w:w="5494" w:type="dxa"/>
            <w:shd w:val="clear" w:color="auto" w:fill="auto"/>
            <w:vAlign w:val="center"/>
          </w:tcPr>
          <w:p w:rsidR="00047D57" w:rsidRPr="002A4A07" w:rsidRDefault="00047D57" w:rsidP="00435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53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353A6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047D57" w:rsidRPr="002A4A07" w:rsidTr="00646D3F"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EE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Дата окончания подачи заявок</w:t>
            </w:r>
          </w:p>
        </w:tc>
        <w:tc>
          <w:tcPr>
            <w:tcW w:w="5494" w:type="dxa"/>
            <w:shd w:val="clear" w:color="auto" w:fill="D9D9D9" w:themeFill="background1" w:themeFillShade="D9"/>
            <w:vAlign w:val="center"/>
          </w:tcPr>
          <w:p w:rsidR="00047D57" w:rsidRPr="002A4A07" w:rsidRDefault="004353A6" w:rsidP="002A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02.09.2015</w:t>
            </w:r>
          </w:p>
        </w:tc>
      </w:tr>
      <w:tr w:rsidR="00047D57" w:rsidRPr="002A4A07" w:rsidTr="004353A6">
        <w:trPr>
          <w:trHeight w:val="706"/>
        </w:trPr>
        <w:tc>
          <w:tcPr>
            <w:tcW w:w="1073" w:type="dxa"/>
            <w:shd w:val="clear" w:color="auto" w:fill="auto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  <w:vAlign w:val="center"/>
          </w:tcPr>
          <w:p w:rsidR="00047D57" w:rsidRPr="002A4A07" w:rsidRDefault="00047D57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Место подачи заявок</w:t>
            </w:r>
          </w:p>
        </w:tc>
        <w:tc>
          <w:tcPr>
            <w:tcW w:w="5494" w:type="dxa"/>
            <w:shd w:val="clear" w:color="auto" w:fill="auto"/>
            <w:vAlign w:val="center"/>
          </w:tcPr>
          <w:p w:rsidR="00047D57" w:rsidRPr="002A4A07" w:rsidRDefault="00955FD7" w:rsidP="00EE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353900, Краснодарский край, г. Новороссийск, ул. Лейтенанта Шмидта, 37</w:t>
            </w:r>
          </w:p>
        </w:tc>
      </w:tr>
      <w:tr w:rsidR="00047D57" w:rsidRPr="002A4A07" w:rsidTr="00913010">
        <w:tc>
          <w:tcPr>
            <w:tcW w:w="1073" w:type="dxa"/>
            <w:shd w:val="clear" w:color="auto" w:fill="auto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  <w:vAlign w:val="center"/>
          </w:tcPr>
          <w:p w:rsidR="00047D57" w:rsidRPr="002A4A07" w:rsidRDefault="00047D57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</w:t>
            </w:r>
          </w:p>
        </w:tc>
        <w:tc>
          <w:tcPr>
            <w:tcW w:w="5494" w:type="dxa"/>
            <w:shd w:val="clear" w:color="auto" w:fill="auto"/>
            <w:vAlign w:val="center"/>
          </w:tcPr>
          <w:p w:rsidR="00047D57" w:rsidRPr="002A4A07" w:rsidRDefault="00955FD7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353900, Краснодарский край, г. Новороссийск, ул. Лейтенанта Шмидта, 37</w:t>
            </w:r>
          </w:p>
        </w:tc>
      </w:tr>
      <w:tr w:rsidR="00047D57" w:rsidRPr="002A4A07" w:rsidTr="00646D3F"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F15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Время вскрытия конвертов, </w:t>
            </w:r>
            <w:proofErr w:type="gramStart"/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открытии</w:t>
            </w:r>
            <w:proofErr w:type="gramEnd"/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электронным документам заявок участников</w:t>
            </w:r>
          </w:p>
        </w:tc>
        <w:tc>
          <w:tcPr>
            <w:tcW w:w="5494" w:type="dxa"/>
            <w:shd w:val="clear" w:color="auto" w:fill="D9D9D9" w:themeFill="background1" w:themeFillShade="D9"/>
            <w:vAlign w:val="center"/>
          </w:tcPr>
          <w:p w:rsidR="00047D57" w:rsidRPr="002A4A07" w:rsidRDefault="004353A6" w:rsidP="00F15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047D57" w:rsidRPr="002A4A07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047D57" w:rsidRPr="002A4A07" w:rsidTr="00646D3F"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64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Дата вскрытия конвертов, открытии доступа к электронным документам заявок участников</w:t>
            </w:r>
          </w:p>
        </w:tc>
        <w:tc>
          <w:tcPr>
            <w:tcW w:w="5494" w:type="dxa"/>
            <w:shd w:val="clear" w:color="auto" w:fill="D9D9D9" w:themeFill="background1" w:themeFillShade="D9"/>
            <w:vAlign w:val="center"/>
          </w:tcPr>
          <w:p w:rsidR="00047D57" w:rsidRPr="002A4A07" w:rsidRDefault="002A4A07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03.09.2015</w:t>
            </w:r>
          </w:p>
        </w:tc>
      </w:tr>
      <w:tr w:rsidR="00047D57" w:rsidRPr="002A4A07" w:rsidTr="00913010">
        <w:tc>
          <w:tcPr>
            <w:tcW w:w="1073" w:type="dxa"/>
            <w:shd w:val="clear" w:color="auto" w:fill="auto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  <w:vAlign w:val="center"/>
          </w:tcPr>
          <w:p w:rsidR="00047D57" w:rsidRPr="002A4A07" w:rsidRDefault="00047D57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Место вскрытия конвертов, открытии доступа к электронным документам заявок участников</w:t>
            </w:r>
          </w:p>
        </w:tc>
        <w:tc>
          <w:tcPr>
            <w:tcW w:w="5494" w:type="dxa"/>
            <w:shd w:val="clear" w:color="auto" w:fill="auto"/>
            <w:vAlign w:val="center"/>
          </w:tcPr>
          <w:p w:rsidR="00047D57" w:rsidRPr="002A4A07" w:rsidRDefault="002A4A07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353900, Краснодарский край, г. Новороссийск, ул. Лейтенанта Шмидта, 37</w:t>
            </w:r>
          </w:p>
        </w:tc>
      </w:tr>
      <w:tr w:rsidR="00047D57" w:rsidRPr="002A4A07" w:rsidTr="00761F46"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761F46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761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Дата рассмотрения и оценки заявок на участие в конкурсе</w:t>
            </w:r>
          </w:p>
        </w:tc>
        <w:tc>
          <w:tcPr>
            <w:tcW w:w="5494" w:type="dxa"/>
            <w:shd w:val="clear" w:color="auto" w:fill="D9D9D9" w:themeFill="background1" w:themeFillShade="D9"/>
            <w:vAlign w:val="center"/>
          </w:tcPr>
          <w:p w:rsidR="00047D57" w:rsidRPr="002A4A07" w:rsidRDefault="002A4A07" w:rsidP="002A4A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04.09.2015</w:t>
            </w:r>
          </w:p>
        </w:tc>
      </w:tr>
      <w:tr w:rsidR="00047D57" w:rsidRPr="002A4A07" w:rsidTr="00913010">
        <w:tc>
          <w:tcPr>
            <w:tcW w:w="1073" w:type="dxa"/>
            <w:shd w:val="clear" w:color="auto" w:fill="auto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  <w:vAlign w:val="center"/>
          </w:tcPr>
          <w:p w:rsidR="00047D57" w:rsidRPr="002A4A07" w:rsidRDefault="00047D57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Место рассмотрения и оценки заявок на участие в конкурсе</w:t>
            </w:r>
          </w:p>
        </w:tc>
        <w:tc>
          <w:tcPr>
            <w:tcW w:w="5494" w:type="dxa"/>
            <w:shd w:val="clear" w:color="auto" w:fill="auto"/>
            <w:vAlign w:val="center"/>
          </w:tcPr>
          <w:p w:rsidR="00047D57" w:rsidRPr="002A4A07" w:rsidRDefault="002A4A07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353900, Краснодарский край, г. Новороссийск, ул. Лейтенанта Шмидта, 37</w:t>
            </w:r>
          </w:p>
        </w:tc>
      </w:tr>
      <w:tr w:rsidR="00047D57" w:rsidRPr="002A4A07" w:rsidTr="000A46C5">
        <w:tc>
          <w:tcPr>
            <w:tcW w:w="10847" w:type="dxa"/>
            <w:gridSpan w:val="3"/>
            <w:shd w:val="clear" w:color="auto" w:fill="auto"/>
            <w:vAlign w:val="center"/>
          </w:tcPr>
          <w:p w:rsidR="00047D57" w:rsidRPr="002A4A07" w:rsidRDefault="00047D57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D57" w:rsidRPr="002A4A07" w:rsidTr="00585534"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C66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494" w:type="dxa"/>
            <w:shd w:val="clear" w:color="auto" w:fill="D9D9D9" w:themeFill="background1" w:themeFillShade="D9"/>
            <w:vAlign w:val="center"/>
          </w:tcPr>
          <w:p w:rsidR="00047D57" w:rsidRPr="002A4A07" w:rsidRDefault="002A4A07" w:rsidP="00C66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 счёт добровольных пожертвований ЗАО «Каспийский трубопроводный консорциум - Р» (благотворителя)</w:t>
            </w:r>
          </w:p>
        </w:tc>
      </w:tr>
      <w:tr w:rsidR="00047D57" w:rsidRPr="002A4A07" w:rsidTr="00615453">
        <w:tc>
          <w:tcPr>
            <w:tcW w:w="1073" w:type="dxa"/>
            <w:shd w:val="clear" w:color="auto" w:fill="FFFFFF" w:themeFill="background1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 w:colFirst="1" w:colLast="2"/>
          </w:p>
        </w:tc>
        <w:tc>
          <w:tcPr>
            <w:tcW w:w="4280" w:type="dxa"/>
            <w:shd w:val="clear" w:color="auto" w:fill="FFFFFF" w:themeFill="background1"/>
          </w:tcPr>
          <w:p w:rsidR="00047D57" w:rsidRPr="002A4A07" w:rsidRDefault="00047D57" w:rsidP="003C1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Срок, в течение которого победитель открытого конкурса или иной его участник, с которым заключается </w:t>
            </w:r>
            <w:r w:rsidR="007808A0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, должен подписать </w:t>
            </w:r>
            <w:r w:rsidR="007808A0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</w:tc>
        <w:tc>
          <w:tcPr>
            <w:tcW w:w="5494" w:type="dxa"/>
            <w:shd w:val="clear" w:color="auto" w:fill="FFFFFF" w:themeFill="background1"/>
            <w:vAlign w:val="center"/>
          </w:tcPr>
          <w:p w:rsidR="00047D57" w:rsidRPr="002A4A07" w:rsidRDefault="00047D57" w:rsidP="00B944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десяти дней с даты размещения </w:t>
            </w:r>
            <w:r w:rsidR="00B944C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4CA">
              <w:rPr>
                <w:rFonts w:ascii="Times New Roman" w:hAnsi="Times New Roman" w:cs="Times New Roman"/>
                <w:sz w:val="24"/>
                <w:szCs w:val="24"/>
              </w:rPr>
              <w:t>официальном</w:t>
            </w:r>
            <w:r w:rsidR="00B944CA"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B944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944CA"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котором размещена документация открытого конкурса 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протокола рассмотрения и оценки заявок на участие в открытом конкурсе </w:t>
            </w:r>
          </w:p>
        </w:tc>
      </w:tr>
      <w:tr w:rsidR="00047D57" w:rsidRPr="002A4A07" w:rsidTr="00615453">
        <w:tc>
          <w:tcPr>
            <w:tcW w:w="1073" w:type="dxa"/>
            <w:shd w:val="clear" w:color="auto" w:fill="FFFFFF" w:themeFill="background1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FFFFFF" w:themeFill="background1"/>
          </w:tcPr>
          <w:p w:rsidR="00047D57" w:rsidRPr="002A4A07" w:rsidRDefault="00047D57" w:rsidP="00AF488F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возможности заказчика изменить условия </w:t>
            </w:r>
            <w:r w:rsidR="007808A0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494" w:type="dxa"/>
            <w:shd w:val="clear" w:color="auto" w:fill="FFFFFF" w:themeFill="background1"/>
            <w:vAlign w:val="center"/>
          </w:tcPr>
          <w:p w:rsidR="00047D57" w:rsidRPr="002A4A07" w:rsidRDefault="00047D57" w:rsidP="001960D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Разделу 5 «Изменение условий </w:t>
            </w:r>
            <w:r w:rsidR="007808A0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а»</w:t>
            </w:r>
          </w:p>
        </w:tc>
      </w:tr>
      <w:tr w:rsidR="00047D57" w:rsidRPr="002A4A07" w:rsidTr="00615453">
        <w:tc>
          <w:tcPr>
            <w:tcW w:w="1073" w:type="dxa"/>
            <w:shd w:val="clear" w:color="auto" w:fill="FFFFFF" w:themeFill="background1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FFFFFF" w:themeFill="background1"/>
          </w:tcPr>
          <w:p w:rsidR="00047D57" w:rsidRPr="002A4A07" w:rsidRDefault="00047D57" w:rsidP="00AF4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возможности одностороннего отказа от исполнения </w:t>
            </w:r>
            <w:r w:rsidR="007808A0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494" w:type="dxa"/>
            <w:shd w:val="clear" w:color="auto" w:fill="FFFFFF" w:themeFill="background1"/>
            <w:vAlign w:val="center"/>
          </w:tcPr>
          <w:p w:rsidR="00047D57" w:rsidRPr="002A4A07" w:rsidRDefault="00047D57" w:rsidP="00AF48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Расторжение </w:t>
            </w:r>
            <w:r w:rsidR="007808A0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а допускается в случае одностороннего отказа стороны </w:t>
            </w:r>
            <w:r w:rsidR="007808A0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а от исполнения </w:t>
            </w:r>
            <w:r w:rsidR="007808A0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а по основаниям, предусмотренным ГК РФ для одностороннего отказа от исполнения отдельных видов обязательств, при условии, что </w:t>
            </w:r>
            <w:r w:rsidR="007808A0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 содержит право заказчика принять решение об 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одностороннем отказе от исполнения </w:t>
            </w:r>
            <w:r w:rsidR="007808A0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</w:tr>
      <w:bookmarkEnd w:id="1"/>
      <w:tr w:rsidR="00047D57" w:rsidRPr="002A4A07" w:rsidTr="00615453">
        <w:tc>
          <w:tcPr>
            <w:tcW w:w="1073" w:type="dxa"/>
            <w:shd w:val="clear" w:color="auto" w:fill="FFFFFF" w:themeFill="background1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FFFFFF" w:themeFill="background1"/>
          </w:tcPr>
          <w:p w:rsidR="00047D57" w:rsidRPr="002A4A07" w:rsidRDefault="00047D57" w:rsidP="00F363F6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отзыва заявок на участие в открытом конкурсе, порядок возврата заявок на участие в открытом конкурсе, порядок внесения изменений в заявки </w:t>
            </w:r>
          </w:p>
        </w:tc>
        <w:tc>
          <w:tcPr>
            <w:tcW w:w="5494" w:type="dxa"/>
            <w:shd w:val="clear" w:color="auto" w:fill="FFFFFF" w:themeFill="background1"/>
            <w:vAlign w:val="center"/>
          </w:tcPr>
          <w:p w:rsidR="00047D57" w:rsidRPr="002A4A07" w:rsidRDefault="00047D57" w:rsidP="00196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Согласно Разделу 6 «Порядок и срок отзыва заявок, порядок возврата заявок, порядок внесения изменений в заявки»</w:t>
            </w:r>
          </w:p>
        </w:tc>
      </w:tr>
      <w:tr w:rsidR="00047D57" w:rsidRPr="002A4A07" w:rsidTr="00615453">
        <w:tc>
          <w:tcPr>
            <w:tcW w:w="1073" w:type="dxa"/>
            <w:shd w:val="clear" w:color="auto" w:fill="FFFFFF" w:themeFill="background1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FFFFFF" w:themeFill="background1"/>
          </w:tcPr>
          <w:p w:rsidR="00047D57" w:rsidRPr="002A4A07" w:rsidRDefault="00047D57" w:rsidP="00F36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 участникам открытого конкурса разъяснений положений конкурсной документации</w:t>
            </w:r>
          </w:p>
        </w:tc>
        <w:tc>
          <w:tcPr>
            <w:tcW w:w="5494" w:type="dxa"/>
            <w:shd w:val="clear" w:color="auto" w:fill="FFFFFF" w:themeFill="background1"/>
            <w:vAlign w:val="center"/>
          </w:tcPr>
          <w:p w:rsidR="00047D57" w:rsidRPr="002A4A07" w:rsidRDefault="00047D57" w:rsidP="00DA61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двух рабочих дней с даты поступления направленного участником открытого конкурса в адрес  </w:t>
            </w:r>
            <w:r w:rsidR="00DA61A8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 в письменной форме запроса о даче разъяснений положений конкурсной документации, </w:t>
            </w:r>
            <w:r w:rsidR="00DA61A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 направляет в письменной форме или в форме электронного документа такому участнику разъяснения положений конкурсной документации, если указанный запрос поступил в </w:t>
            </w:r>
            <w:r w:rsidR="00DA61A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</w:t>
            </w:r>
            <w:r w:rsidR="00D54B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 чем за пять дней до даты окончания срока подачи заявок на</w:t>
            </w:r>
            <w:proofErr w:type="gramEnd"/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открытом конкурсе</w:t>
            </w:r>
          </w:p>
        </w:tc>
      </w:tr>
      <w:tr w:rsidR="00047D57" w:rsidRPr="002A4A07" w:rsidTr="0020762A">
        <w:tc>
          <w:tcPr>
            <w:tcW w:w="10847" w:type="dxa"/>
            <w:gridSpan w:val="3"/>
            <w:shd w:val="clear" w:color="auto" w:fill="auto"/>
            <w:vAlign w:val="center"/>
          </w:tcPr>
          <w:p w:rsidR="00047D57" w:rsidRPr="002A4A07" w:rsidRDefault="00047D57" w:rsidP="00E32D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D57" w:rsidRPr="002A4A07" w:rsidTr="0077290D">
        <w:tc>
          <w:tcPr>
            <w:tcW w:w="1073" w:type="dxa"/>
            <w:shd w:val="clear" w:color="auto" w:fill="auto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  <w:vAlign w:val="center"/>
          </w:tcPr>
          <w:p w:rsidR="00047D57" w:rsidRPr="002A4A07" w:rsidRDefault="00047D57" w:rsidP="00C66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5494" w:type="dxa"/>
            <w:shd w:val="clear" w:color="auto" w:fill="auto"/>
            <w:vAlign w:val="center"/>
          </w:tcPr>
          <w:p w:rsidR="00047D57" w:rsidRPr="002A4A07" w:rsidRDefault="00047D57" w:rsidP="00C66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047D57" w:rsidRPr="002A4A07" w:rsidTr="0077290D">
        <w:tc>
          <w:tcPr>
            <w:tcW w:w="1073" w:type="dxa"/>
            <w:shd w:val="clear" w:color="auto" w:fill="auto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  <w:vAlign w:val="center"/>
          </w:tcPr>
          <w:p w:rsidR="00047D57" w:rsidRPr="002A4A07" w:rsidRDefault="00047D57" w:rsidP="00C66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5494" w:type="dxa"/>
            <w:shd w:val="clear" w:color="auto" w:fill="auto"/>
            <w:vAlign w:val="center"/>
          </w:tcPr>
          <w:p w:rsidR="00047D57" w:rsidRPr="002A4A07" w:rsidRDefault="00047D57" w:rsidP="00C66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047D57" w:rsidRPr="002A4A07" w:rsidTr="0077290D">
        <w:tc>
          <w:tcPr>
            <w:tcW w:w="1073" w:type="dxa"/>
            <w:shd w:val="clear" w:color="auto" w:fill="auto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  <w:vAlign w:val="center"/>
          </w:tcPr>
          <w:p w:rsidR="00047D57" w:rsidRPr="002A4A07" w:rsidRDefault="00047D57" w:rsidP="00C66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Район / Город</w:t>
            </w:r>
          </w:p>
        </w:tc>
        <w:tc>
          <w:tcPr>
            <w:tcW w:w="5494" w:type="dxa"/>
            <w:shd w:val="clear" w:color="auto" w:fill="auto"/>
            <w:vAlign w:val="center"/>
          </w:tcPr>
          <w:p w:rsidR="00047D57" w:rsidRPr="002A4A07" w:rsidRDefault="00047D57" w:rsidP="00C66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Новороссийск</w:t>
            </w:r>
          </w:p>
        </w:tc>
      </w:tr>
      <w:tr w:rsidR="00047D57" w:rsidRPr="002A4A07" w:rsidTr="00646D3F"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C66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5494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C66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D57" w:rsidRPr="002A4A07" w:rsidTr="00646D3F"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C66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5494" w:type="dxa"/>
            <w:shd w:val="clear" w:color="auto" w:fill="D9D9D9" w:themeFill="background1" w:themeFillShade="D9"/>
            <w:vAlign w:val="center"/>
          </w:tcPr>
          <w:p w:rsidR="00047D57" w:rsidRPr="002A4A07" w:rsidRDefault="00DA61A8" w:rsidP="00C66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3CC">
              <w:rPr>
                <w:rFonts w:ascii="Times New Roman" w:hAnsi="Times New Roman"/>
                <w:iCs/>
                <w:szCs w:val="24"/>
              </w:rPr>
              <w:t>ул. Пролетарская, 7</w:t>
            </w:r>
          </w:p>
        </w:tc>
      </w:tr>
      <w:tr w:rsidR="00047D57" w:rsidRPr="002A4A07" w:rsidTr="00646D3F"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C66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5494" w:type="dxa"/>
            <w:shd w:val="clear" w:color="auto" w:fill="D9D9D9" w:themeFill="background1" w:themeFillShade="D9"/>
            <w:vAlign w:val="center"/>
          </w:tcPr>
          <w:p w:rsidR="00DA61A8" w:rsidRPr="00956C4E" w:rsidRDefault="00DA61A8" w:rsidP="00DA61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6C4E">
              <w:rPr>
                <w:rFonts w:ascii="Times New Roman" w:hAnsi="Times New Roman" w:cs="Times New Roman"/>
                <w:sz w:val="24"/>
                <w:szCs w:val="24"/>
              </w:rPr>
              <w:t>согласно следующим выделенным этапам:</w:t>
            </w:r>
          </w:p>
          <w:p w:rsidR="00DA61A8" w:rsidRPr="00956C4E" w:rsidRDefault="00DA61A8" w:rsidP="00DA61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6C4E">
              <w:rPr>
                <w:rFonts w:ascii="Times New Roman" w:hAnsi="Times New Roman" w:cs="Times New Roman"/>
                <w:sz w:val="24"/>
                <w:szCs w:val="24"/>
              </w:rPr>
              <w:t xml:space="preserve"> - в срок 90 календарных дней </w:t>
            </w:r>
            <w:proofErr w:type="gramStart"/>
            <w:r w:rsidRPr="00956C4E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956C4E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завершить работы по проектированию объекта.</w:t>
            </w:r>
          </w:p>
          <w:p w:rsidR="00047D57" w:rsidRPr="002A4A07" w:rsidRDefault="00DA61A8" w:rsidP="00DA6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C4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84710B" w:rsidRPr="0084710B">
              <w:rPr>
                <w:rFonts w:ascii="Times New Roman" w:hAnsi="Times New Roman" w:cs="Times New Roman"/>
                <w:sz w:val="24"/>
                <w:szCs w:val="24"/>
              </w:rPr>
              <w:t xml:space="preserve"> - в течение 45 календарных дней оказать услуги по сопровождению в прохождении государственной экспертизы подготовленного проекта и представить заказчику проектную документацию в стадии «Р»</w:t>
            </w:r>
            <w:r w:rsidRPr="0095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7D57" w:rsidRPr="002A4A07" w:rsidTr="00615453">
        <w:tc>
          <w:tcPr>
            <w:tcW w:w="10847" w:type="dxa"/>
            <w:gridSpan w:val="3"/>
            <w:shd w:val="clear" w:color="auto" w:fill="FFFFFF" w:themeFill="background1"/>
            <w:vAlign w:val="center"/>
          </w:tcPr>
          <w:p w:rsidR="00047D57" w:rsidRPr="002A4A07" w:rsidRDefault="00047D57" w:rsidP="00C66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D57" w:rsidRPr="002A4A07" w:rsidTr="00845862">
        <w:tc>
          <w:tcPr>
            <w:tcW w:w="10847" w:type="dxa"/>
            <w:gridSpan w:val="3"/>
            <w:shd w:val="clear" w:color="auto" w:fill="auto"/>
            <w:vAlign w:val="center"/>
          </w:tcPr>
          <w:p w:rsidR="00047D57" w:rsidRPr="002A4A07" w:rsidRDefault="00047D57" w:rsidP="00091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Требование</w:t>
            </w:r>
          </w:p>
        </w:tc>
      </w:tr>
      <w:tr w:rsidR="00047D57" w:rsidRPr="002A4A07" w:rsidTr="00646D3F">
        <w:tc>
          <w:tcPr>
            <w:tcW w:w="1073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CE0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Требования, установленные в соответствии с законодательством Российской Федерации к лицам, осуществляющим поставку товара, выполнение работы, оказание услуги, </w:t>
            </w:r>
            <w:proofErr w:type="gramStart"/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являющихся</w:t>
            </w:r>
            <w:proofErr w:type="gramEnd"/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 объектом закупки</w:t>
            </w:r>
          </w:p>
          <w:p w:rsidR="00047D57" w:rsidRPr="002A4A07" w:rsidRDefault="00047D57" w:rsidP="00CE0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  <w:shd w:val="clear" w:color="auto" w:fill="D9D9D9" w:themeFill="background1" w:themeFillShade="D9"/>
            <w:vAlign w:val="center"/>
          </w:tcPr>
          <w:p w:rsidR="00047D57" w:rsidRPr="002A4A07" w:rsidRDefault="00047D57" w:rsidP="009139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Копия свидетельства о допуске к работам по подготовке проектной документации, выданных саморегулируемой организацией (в соответствии  с приказом Министерства регионального развития РФ от 30 декабря 2009 г. № 624 «Об утверждении  Перечня видов работ по инженерным изысканиям, по подготовке проектной документации, которые оказывают  влияние на безопасность объектов капитального строительства» с изменениями от 23 июня 2010 года) включающие в себя:</w:t>
            </w:r>
            <w:proofErr w:type="gramEnd"/>
          </w:p>
          <w:p w:rsidR="00047D57" w:rsidRPr="002A4A07" w:rsidRDefault="00047D57" w:rsidP="00DA6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13. 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</w:t>
            </w:r>
          </w:p>
        </w:tc>
      </w:tr>
      <w:tr w:rsidR="00047D57" w:rsidRPr="002A4A07" w:rsidTr="00CE0FE9">
        <w:tc>
          <w:tcPr>
            <w:tcW w:w="1073" w:type="dxa"/>
            <w:shd w:val="clear" w:color="auto" w:fill="FFFFFF" w:themeFill="background1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FFFFFF" w:themeFill="background1"/>
            <w:vAlign w:val="center"/>
          </w:tcPr>
          <w:p w:rsidR="00047D57" w:rsidRPr="002A4A07" w:rsidRDefault="00D54B98" w:rsidP="00DA6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</w:t>
            </w:r>
            <w:r w:rsidR="00047D57"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об отсутствии в предусмотренном Федеральным законом № 44-ФЗ </w:t>
            </w:r>
            <w:r w:rsidR="00DA61A8">
              <w:rPr>
                <w:rFonts w:ascii="Times New Roman" w:hAnsi="Times New Roman" w:cs="Times New Roman"/>
                <w:sz w:val="24"/>
                <w:szCs w:val="24"/>
              </w:rPr>
              <w:t>и № 223-ФЗ</w:t>
            </w:r>
            <w:r w:rsidR="00047D57"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7D57" w:rsidRPr="002A4A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</w:t>
            </w:r>
            <w:proofErr w:type="gramEnd"/>
          </w:p>
        </w:tc>
        <w:tc>
          <w:tcPr>
            <w:tcW w:w="5494" w:type="dxa"/>
            <w:shd w:val="clear" w:color="auto" w:fill="FFFFFF" w:themeFill="background1"/>
            <w:vAlign w:val="center"/>
          </w:tcPr>
          <w:p w:rsidR="00047D57" w:rsidRPr="002A4A07" w:rsidRDefault="00047D57" w:rsidP="00C66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Установлено </w:t>
            </w:r>
          </w:p>
        </w:tc>
      </w:tr>
      <w:tr w:rsidR="00047D57" w:rsidRPr="002A4A07" w:rsidTr="001678D0">
        <w:tc>
          <w:tcPr>
            <w:tcW w:w="1073" w:type="dxa"/>
            <w:shd w:val="clear" w:color="auto" w:fill="FFFFFF" w:themeFill="background1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FFFFFF" w:themeFill="background1"/>
          </w:tcPr>
          <w:p w:rsidR="00047D57" w:rsidRPr="002A4A07" w:rsidRDefault="00047D57" w:rsidP="00AF48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участникам электронного аукциона в соответствии с пунктами 3-9 части 1 статьи 31  44-ФЗ</w:t>
            </w:r>
          </w:p>
        </w:tc>
        <w:tc>
          <w:tcPr>
            <w:tcW w:w="5494" w:type="dxa"/>
            <w:shd w:val="clear" w:color="auto" w:fill="FFFFFF" w:themeFill="background1"/>
            <w:vAlign w:val="center"/>
          </w:tcPr>
          <w:p w:rsidR="00047D57" w:rsidRPr="002A4A07" w:rsidRDefault="00047D57" w:rsidP="00AF48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. Подтверждается декларированием о соответствии установленным требованиям. </w:t>
            </w:r>
          </w:p>
        </w:tc>
      </w:tr>
      <w:tr w:rsidR="00047D57" w:rsidRPr="002A4A07" w:rsidTr="005F125C">
        <w:tc>
          <w:tcPr>
            <w:tcW w:w="10847" w:type="dxa"/>
            <w:gridSpan w:val="3"/>
            <w:shd w:val="clear" w:color="auto" w:fill="auto"/>
            <w:vAlign w:val="center"/>
          </w:tcPr>
          <w:p w:rsidR="00047D57" w:rsidRPr="002A4A07" w:rsidRDefault="00047D57" w:rsidP="00C66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D57" w:rsidRPr="002A4A07" w:rsidTr="00CA650D">
        <w:trPr>
          <w:trHeight w:val="4085"/>
        </w:trPr>
        <w:tc>
          <w:tcPr>
            <w:tcW w:w="1073" w:type="dxa"/>
            <w:shd w:val="clear" w:color="auto" w:fill="auto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</w:tcPr>
          <w:p w:rsidR="00047D57" w:rsidRPr="002A4A07" w:rsidRDefault="00047D57" w:rsidP="00BF1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Способы получения конкурсной документации, срок, место и порядок предоставления конкурсной документации</w:t>
            </w:r>
          </w:p>
        </w:tc>
        <w:tc>
          <w:tcPr>
            <w:tcW w:w="5494" w:type="dxa"/>
            <w:shd w:val="clear" w:color="auto" w:fill="auto"/>
            <w:vAlign w:val="center"/>
          </w:tcPr>
          <w:p w:rsidR="00047D57" w:rsidRPr="002A4A07" w:rsidRDefault="00047D57" w:rsidP="00646D3F">
            <w:pPr>
              <w:pStyle w:val="a4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Конкурсная документация размещена </w:t>
            </w:r>
            <w:r w:rsidR="00DA61A8">
              <w:rPr>
                <w:rFonts w:ascii="Times New Roman" w:hAnsi="Times New Roman" w:cs="Times New Roman"/>
                <w:sz w:val="24"/>
                <w:szCs w:val="24"/>
              </w:rPr>
              <w:t>на оф</w:t>
            </w:r>
            <w:r w:rsidR="00DA61A8" w:rsidRPr="00453475">
              <w:rPr>
                <w:rFonts w:ascii="Times New Roman" w:hAnsi="Times New Roman"/>
                <w:szCs w:val="24"/>
              </w:rPr>
              <w:t>ициальн</w:t>
            </w:r>
            <w:r w:rsidR="00DA61A8">
              <w:rPr>
                <w:rFonts w:ascii="Times New Roman" w:hAnsi="Times New Roman"/>
                <w:szCs w:val="24"/>
              </w:rPr>
              <w:t>ом</w:t>
            </w:r>
            <w:r w:rsidR="00DA61A8" w:rsidRPr="00453475">
              <w:rPr>
                <w:rFonts w:ascii="Times New Roman" w:hAnsi="Times New Roman"/>
                <w:szCs w:val="24"/>
              </w:rPr>
              <w:t xml:space="preserve"> сайт</w:t>
            </w:r>
            <w:r w:rsidR="00DA61A8">
              <w:rPr>
                <w:rFonts w:ascii="Times New Roman" w:hAnsi="Times New Roman"/>
                <w:szCs w:val="24"/>
              </w:rPr>
              <w:t>е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61A8" w:rsidRPr="005153B9">
              <w:rPr>
                <w:rFonts w:ascii="Times New Roman" w:hAnsi="Times New Roman"/>
                <w:szCs w:val="24"/>
                <w:lang w:val="en-US"/>
              </w:rPr>
              <w:t>www</w:t>
            </w:r>
            <w:r w:rsidR="00DA61A8" w:rsidRPr="00DA61A8">
              <w:rPr>
                <w:rFonts w:ascii="Times New Roman" w:hAnsi="Times New Roman"/>
                <w:szCs w:val="24"/>
              </w:rPr>
              <w:t>.</w:t>
            </w:r>
            <w:proofErr w:type="spellStart"/>
            <w:r w:rsidR="00DA61A8" w:rsidRPr="005153B9">
              <w:rPr>
                <w:rFonts w:ascii="Times New Roman" w:hAnsi="Times New Roman"/>
                <w:szCs w:val="24"/>
                <w:lang w:val="en-US"/>
              </w:rPr>
              <w:t>novoroszdrav</w:t>
            </w:r>
            <w:proofErr w:type="spellEnd"/>
            <w:r w:rsidR="00DA61A8" w:rsidRPr="00DA61A8">
              <w:rPr>
                <w:rFonts w:ascii="Times New Roman" w:hAnsi="Times New Roman"/>
                <w:szCs w:val="24"/>
              </w:rPr>
              <w:t>.</w:t>
            </w:r>
            <w:proofErr w:type="spellStart"/>
            <w:r w:rsidR="00DA61A8" w:rsidRPr="005153B9">
              <w:rPr>
                <w:rFonts w:ascii="Times New Roman" w:hAnsi="Times New Roman"/>
                <w:szCs w:val="24"/>
                <w:lang w:val="en-US"/>
              </w:rPr>
              <w:t>ru</w:t>
            </w:r>
            <w:proofErr w:type="spellEnd"/>
            <w:r w:rsidR="00DA61A8"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в открытом доступе.</w:t>
            </w:r>
          </w:p>
          <w:p w:rsidR="00047D57" w:rsidRPr="002A4A07" w:rsidRDefault="00047D57" w:rsidP="0064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поданного в письменной форме заявления любого заинтересованного лица предоставляется после даты размещения извещения о проведении открытого конкурса в течение двух рабочих дней с даты получения соответствующего заявления на электронный адрес, указанный в заявлении, </w:t>
            </w:r>
            <w:r w:rsidR="0066043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срока подачи заявок 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без взимания платы, а также на электронный носитель заявителя по адресу фактического нахождения </w:t>
            </w:r>
            <w:r w:rsidRPr="002A4A07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управление муниципального заказа</w:t>
            </w: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A61A8" w:rsidRPr="00453475">
              <w:rPr>
                <w:rFonts w:ascii="Times New Roman" w:hAnsi="Times New Roman"/>
                <w:noProof/>
                <w:szCs w:val="24"/>
              </w:rPr>
              <w:t xml:space="preserve">Российская Федерация, 353900, Краснодарский край, г. Новороссийск, </w:t>
            </w:r>
            <w:r w:rsidR="00DA61A8" w:rsidRPr="005153B9">
              <w:rPr>
                <w:rFonts w:ascii="Times New Roman" w:hAnsi="Times New Roman"/>
                <w:noProof/>
                <w:szCs w:val="24"/>
              </w:rPr>
              <w:t>ул. Лейтенанта Шмидта, 37</w:t>
            </w:r>
          </w:p>
          <w:p w:rsidR="00047D57" w:rsidRPr="002A4A07" w:rsidRDefault="00047D57" w:rsidP="0064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(понедельник - пятница: с 9-00 до 18-00, </w:t>
            </w:r>
            <w:proofErr w:type="gramEnd"/>
          </w:p>
          <w:p w:rsidR="00047D57" w:rsidRPr="002A4A07" w:rsidRDefault="00047D57" w:rsidP="0064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13-00 до 14-00, </w:t>
            </w:r>
          </w:p>
          <w:p w:rsidR="00047D57" w:rsidRPr="002A4A07" w:rsidRDefault="00047D57" w:rsidP="0064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исключая выходные и праздничные дни)</w:t>
            </w:r>
          </w:p>
        </w:tc>
      </w:tr>
      <w:tr w:rsidR="00047D57" w:rsidRPr="002A4A07" w:rsidTr="00265922">
        <w:tc>
          <w:tcPr>
            <w:tcW w:w="1073" w:type="dxa"/>
            <w:shd w:val="clear" w:color="auto" w:fill="auto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</w:tcPr>
          <w:p w:rsidR="00047D57" w:rsidRPr="002A4A07" w:rsidRDefault="00047D57" w:rsidP="00C66F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Язык или языки, на которых предоставляется конкурсная документация </w:t>
            </w:r>
          </w:p>
        </w:tc>
        <w:tc>
          <w:tcPr>
            <w:tcW w:w="5494" w:type="dxa"/>
            <w:shd w:val="clear" w:color="auto" w:fill="auto"/>
            <w:vAlign w:val="center"/>
          </w:tcPr>
          <w:p w:rsidR="00047D57" w:rsidRPr="002A4A07" w:rsidRDefault="00047D57" w:rsidP="00C66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</w:tr>
      <w:tr w:rsidR="00047D57" w:rsidRPr="002A4A07" w:rsidTr="00265922">
        <w:tc>
          <w:tcPr>
            <w:tcW w:w="1073" w:type="dxa"/>
            <w:shd w:val="clear" w:color="auto" w:fill="auto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</w:tcPr>
          <w:p w:rsidR="00047D57" w:rsidRPr="002A4A07" w:rsidRDefault="00047D57" w:rsidP="00C66F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Плата за предоставление конкурсной документации</w:t>
            </w:r>
          </w:p>
        </w:tc>
        <w:tc>
          <w:tcPr>
            <w:tcW w:w="5494" w:type="dxa"/>
            <w:shd w:val="clear" w:color="auto" w:fill="auto"/>
            <w:vAlign w:val="center"/>
          </w:tcPr>
          <w:p w:rsidR="00047D57" w:rsidRPr="002A4A07" w:rsidRDefault="00047D57" w:rsidP="00C66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7D57" w:rsidRPr="002A4A07" w:rsidTr="00265922">
        <w:tc>
          <w:tcPr>
            <w:tcW w:w="1073" w:type="dxa"/>
            <w:shd w:val="clear" w:color="auto" w:fill="auto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</w:tcPr>
          <w:p w:rsidR="00047D57" w:rsidRPr="002A4A07" w:rsidRDefault="00047D57" w:rsidP="00F1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критерии оценки заявок на участие в открытом конкурсе, величины их значимости </w:t>
            </w:r>
          </w:p>
        </w:tc>
        <w:tc>
          <w:tcPr>
            <w:tcW w:w="5494" w:type="dxa"/>
            <w:shd w:val="clear" w:color="auto" w:fill="auto"/>
            <w:vAlign w:val="center"/>
          </w:tcPr>
          <w:p w:rsidR="00047D57" w:rsidRPr="002A4A07" w:rsidRDefault="00047D57" w:rsidP="005B13CB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Согласно Разделу 8 «Порядок и критерии оценки заявок участников закупки, показатели таких критериев и величины их значимостей»</w:t>
            </w:r>
          </w:p>
        </w:tc>
      </w:tr>
      <w:tr w:rsidR="00047D57" w:rsidRPr="002A4A07" w:rsidTr="00265922">
        <w:tc>
          <w:tcPr>
            <w:tcW w:w="1073" w:type="dxa"/>
            <w:shd w:val="clear" w:color="auto" w:fill="auto"/>
            <w:vAlign w:val="center"/>
          </w:tcPr>
          <w:p w:rsidR="00047D57" w:rsidRPr="002A4A07" w:rsidRDefault="00047D57" w:rsidP="00A7666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</w:tcPr>
          <w:p w:rsidR="00047D57" w:rsidRPr="002A4A07" w:rsidRDefault="00047D57" w:rsidP="00F1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>Порядок рассмотрения заявок на участие в открытом конкурсе</w:t>
            </w:r>
          </w:p>
        </w:tc>
        <w:tc>
          <w:tcPr>
            <w:tcW w:w="5494" w:type="dxa"/>
            <w:shd w:val="clear" w:color="auto" w:fill="auto"/>
            <w:vAlign w:val="center"/>
          </w:tcPr>
          <w:p w:rsidR="00047D57" w:rsidRPr="002A4A07" w:rsidRDefault="00047D57" w:rsidP="005B13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A07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Разделу 7 «Порядок рассмотрения заявок на участие в открытом конкурсе» </w:t>
            </w:r>
          </w:p>
        </w:tc>
      </w:tr>
    </w:tbl>
    <w:p w:rsidR="009A6149" w:rsidRPr="002A4A07" w:rsidRDefault="009A6149">
      <w:pPr>
        <w:rPr>
          <w:rFonts w:ascii="Times New Roman" w:hAnsi="Times New Roman" w:cs="Times New Roman"/>
          <w:sz w:val="24"/>
          <w:szCs w:val="24"/>
        </w:rPr>
      </w:pPr>
    </w:p>
    <w:sectPr w:rsidR="009A6149" w:rsidRPr="002A4A07" w:rsidSect="00B02BE2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D1776"/>
    <w:multiLevelType w:val="hybridMultilevel"/>
    <w:tmpl w:val="6AB64B68"/>
    <w:lvl w:ilvl="0" w:tplc="80A00B3A">
      <w:start w:val="1"/>
      <w:numFmt w:val="decimal"/>
      <w:lvlText w:val="%1.1.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26FE2"/>
    <w:multiLevelType w:val="hybridMultilevel"/>
    <w:tmpl w:val="FF285108"/>
    <w:lvl w:ilvl="0" w:tplc="46D8267E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5F5E2D"/>
    <w:multiLevelType w:val="hybridMultilevel"/>
    <w:tmpl w:val="6CA2DFB4"/>
    <w:lvl w:ilvl="0" w:tplc="46D8267E">
      <w:start w:val="1"/>
      <w:numFmt w:val="decimal"/>
      <w:lvlText w:val="%1.1.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0EC5381"/>
    <w:multiLevelType w:val="hybridMultilevel"/>
    <w:tmpl w:val="6CE8932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87900B6"/>
    <w:multiLevelType w:val="hybridMultilevel"/>
    <w:tmpl w:val="E65870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B0B18B5"/>
    <w:multiLevelType w:val="hybridMultilevel"/>
    <w:tmpl w:val="0FF0E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64"/>
    <w:rsid w:val="00001E62"/>
    <w:rsid w:val="00047D57"/>
    <w:rsid w:val="00071A3A"/>
    <w:rsid w:val="000917A2"/>
    <w:rsid w:val="000F5C02"/>
    <w:rsid w:val="001678D0"/>
    <w:rsid w:val="00177A62"/>
    <w:rsid w:val="001811F0"/>
    <w:rsid w:val="001960D5"/>
    <w:rsid w:val="001C3953"/>
    <w:rsid w:val="00224528"/>
    <w:rsid w:val="002808AB"/>
    <w:rsid w:val="002A4A07"/>
    <w:rsid w:val="00347E13"/>
    <w:rsid w:val="003720EF"/>
    <w:rsid w:val="004353A6"/>
    <w:rsid w:val="004405EB"/>
    <w:rsid w:val="00484E77"/>
    <w:rsid w:val="004B775B"/>
    <w:rsid w:val="00517EF5"/>
    <w:rsid w:val="005534E2"/>
    <w:rsid w:val="00585534"/>
    <w:rsid w:val="005B13CB"/>
    <w:rsid w:val="005B29BC"/>
    <w:rsid w:val="005D500E"/>
    <w:rsid w:val="005E474C"/>
    <w:rsid w:val="005F2AB3"/>
    <w:rsid w:val="00615453"/>
    <w:rsid w:val="00646D3F"/>
    <w:rsid w:val="006521E4"/>
    <w:rsid w:val="00660433"/>
    <w:rsid w:val="00732F7E"/>
    <w:rsid w:val="00743C2E"/>
    <w:rsid w:val="0075723B"/>
    <w:rsid w:val="00761F46"/>
    <w:rsid w:val="007808A0"/>
    <w:rsid w:val="007827C8"/>
    <w:rsid w:val="00785E79"/>
    <w:rsid w:val="007B3912"/>
    <w:rsid w:val="007E7B11"/>
    <w:rsid w:val="0084710B"/>
    <w:rsid w:val="00854D69"/>
    <w:rsid w:val="0089152A"/>
    <w:rsid w:val="008A444B"/>
    <w:rsid w:val="008B078F"/>
    <w:rsid w:val="008C2BEB"/>
    <w:rsid w:val="008E000B"/>
    <w:rsid w:val="00913010"/>
    <w:rsid w:val="0091399E"/>
    <w:rsid w:val="009424BF"/>
    <w:rsid w:val="00955FD7"/>
    <w:rsid w:val="00973D19"/>
    <w:rsid w:val="00987219"/>
    <w:rsid w:val="009A6149"/>
    <w:rsid w:val="009B0164"/>
    <w:rsid w:val="009B1D61"/>
    <w:rsid w:val="00A25853"/>
    <w:rsid w:val="00A76666"/>
    <w:rsid w:val="00B02BE2"/>
    <w:rsid w:val="00B552AF"/>
    <w:rsid w:val="00B944CA"/>
    <w:rsid w:val="00BB40AE"/>
    <w:rsid w:val="00BF132B"/>
    <w:rsid w:val="00C1781F"/>
    <w:rsid w:val="00CA650D"/>
    <w:rsid w:val="00CD410E"/>
    <w:rsid w:val="00CE0FE9"/>
    <w:rsid w:val="00D54B98"/>
    <w:rsid w:val="00DA61A8"/>
    <w:rsid w:val="00DD251F"/>
    <w:rsid w:val="00E32D0C"/>
    <w:rsid w:val="00E640D7"/>
    <w:rsid w:val="00EB5922"/>
    <w:rsid w:val="00ED7F60"/>
    <w:rsid w:val="00EE31CF"/>
    <w:rsid w:val="00EE4902"/>
    <w:rsid w:val="00FB6F5F"/>
    <w:rsid w:val="00FD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0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0164"/>
    <w:pPr>
      <w:ind w:left="720"/>
      <w:contextualSpacing/>
    </w:pPr>
  </w:style>
  <w:style w:type="paragraph" w:customStyle="1" w:styleId="3">
    <w:name w:val="Стиль3 Знак"/>
    <w:basedOn w:val="2"/>
    <w:link w:val="30"/>
    <w:uiPriority w:val="99"/>
    <w:rsid w:val="00FB6F5F"/>
    <w:pPr>
      <w:widowControl w:val="0"/>
      <w:adjustRightInd w:val="0"/>
      <w:spacing w:after="0" w:line="240" w:lineRule="auto"/>
      <w:ind w:left="0"/>
      <w:jc w:val="both"/>
      <w:textAlignment w:val="baseline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30">
    <w:name w:val="Стиль3 Знак Знак"/>
    <w:link w:val="3"/>
    <w:uiPriority w:val="99"/>
    <w:locked/>
    <w:rsid w:val="00FB6F5F"/>
    <w:rPr>
      <w:rFonts w:ascii="Arial" w:eastAsia="Calibri" w:hAnsi="Arial" w:cs="Arial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B6F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B6F5F"/>
  </w:style>
  <w:style w:type="paragraph" w:styleId="a5">
    <w:name w:val="No Spacing"/>
    <w:uiPriority w:val="99"/>
    <w:qFormat/>
    <w:rsid w:val="00CE0FE9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DA61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DA61A8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0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0164"/>
    <w:pPr>
      <w:ind w:left="720"/>
      <w:contextualSpacing/>
    </w:pPr>
  </w:style>
  <w:style w:type="paragraph" w:customStyle="1" w:styleId="3">
    <w:name w:val="Стиль3 Знак"/>
    <w:basedOn w:val="2"/>
    <w:link w:val="30"/>
    <w:uiPriority w:val="99"/>
    <w:rsid w:val="00FB6F5F"/>
    <w:pPr>
      <w:widowControl w:val="0"/>
      <w:adjustRightInd w:val="0"/>
      <w:spacing w:after="0" w:line="240" w:lineRule="auto"/>
      <w:ind w:left="0"/>
      <w:jc w:val="both"/>
      <w:textAlignment w:val="baseline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30">
    <w:name w:val="Стиль3 Знак Знак"/>
    <w:link w:val="3"/>
    <w:uiPriority w:val="99"/>
    <w:locked/>
    <w:rsid w:val="00FB6F5F"/>
    <w:rPr>
      <w:rFonts w:ascii="Arial" w:eastAsia="Calibri" w:hAnsi="Arial" w:cs="Arial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B6F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B6F5F"/>
  </w:style>
  <w:style w:type="paragraph" w:styleId="a5">
    <w:name w:val="No Spacing"/>
    <w:uiPriority w:val="99"/>
    <w:qFormat/>
    <w:rsid w:val="00CE0FE9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DA61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DA61A8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9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2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0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23410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30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01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80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209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876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Пермяков Ю.В.</dc:creator>
  <cp:lastModifiedBy>lawyer</cp:lastModifiedBy>
  <cp:revision>49</cp:revision>
  <dcterms:created xsi:type="dcterms:W3CDTF">2015-07-10T05:56:00Z</dcterms:created>
  <dcterms:modified xsi:type="dcterms:W3CDTF">2015-08-03T06:00:00Z</dcterms:modified>
</cp:coreProperties>
</file>